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4A98" w14:textId="77777777" w:rsidR="00C71B3F" w:rsidRDefault="00C71B3F" w:rsidP="00C71B3F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Fonts w:ascii="Helvetica" w:hAnsi="Helvetica" w:cs="Helvetica"/>
          <w:color w:val="8C979E"/>
          <w:sz w:val="21"/>
          <w:szCs w:val="21"/>
        </w:rPr>
        <w:t xml:space="preserve">Le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Millésime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2015 du Merlot de Sainte Barbe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est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un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des plus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demandés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notre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cuvée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>. </w:t>
      </w:r>
      <w:r>
        <w:rPr>
          <w:rStyle w:val="Zwaar"/>
          <w:rFonts w:ascii="Helvetica" w:hAnsi="Helvetica" w:cs="Helvetica"/>
          <w:color w:val="8C979E"/>
          <w:sz w:val="21"/>
          <w:szCs w:val="21"/>
        </w:rPr>
        <w:t>(</w:t>
      </w:r>
      <w:proofErr w:type="spellStart"/>
      <w:r>
        <w:rPr>
          <w:rStyle w:val="Zwaar"/>
          <w:rFonts w:ascii="Helvetica" w:hAnsi="Helvetica" w:cs="Helvetica"/>
          <w:color w:val="8C979E"/>
          <w:sz w:val="21"/>
          <w:szCs w:val="21"/>
        </w:rPr>
        <w:t>caisse</w:t>
      </w:r>
      <w:proofErr w:type="spellEnd"/>
      <w:r>
        <w:rPr>
          <w:rStyle w:val="Zwaar"/>
          <w:rFonts w:ascii="Helvetica" w:hAnsi="Helvetica" w:cs="Helvetica"/>
          <w:color w:val="8C979E"/>
          <w:sz w:val="21"/>
          <w:szCs w:val="21"/>
        </w:rPr>
        <w:t xml:space="preserve"> de 6 </w:t>
      </w:r>
      <w:proofErr w:type="spellStart"/>
      <w:r>
        <w:rPr>
          <w:rStyle w:val="Zwaar"/>
          <w:rFonts w:ascii="Helvetica" w:hAnsi="Helvetica" w:cs="Helvetica"/>
          <w:color w:val="8C979E"/>
          <w:sz w:val="21"/>
          <w:szCs w:val="21"/>
        </w:rPr>
        <w:t>bouteilles</w:t>
      </w:r>
      <w:proofErr w:type="spellEnd"/>
      <w:r>
        <w:rPr>
          <w:rStyle w:val="Zwaar"/>
          <w:rFonts w:ascii="Helvetica" w:hAnsi="Helvetica" w:cs="Helvetica"/>
          <w:color w:val="8C979E"/>
          <w:sz w:val="21"/>
          <w:szCs w:val="21"/>
        </w:rPr>
        <w:t>). 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Cette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cuvée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composée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de 100% de Merlot pour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une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expérience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unique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>.</w:t>
      </w:r>
    </w:p>
    <w:p w14:paraId="2542B4AA" w14:textId="77777777" w:rsidR="00C71B3F" w:rsidRDefault="00C71B3F" w:rsidP="00C71B3F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35D85304" wp14:editId="46F5957F">
            <wp:extent cx="1276350" cy="1276350"/>
            <wp:effectExtent l="0" t="0" r="0" b="0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8C979E"/>
          <w:sz w:val="21"/>
          <w:szCs w:val="21"/>
        </w:rPr>
        <w:t> </w:t>
      </w: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56750932" wp14:editId="62EE97C2">
            <wp:extent cx="1276350" cy="1276350"/>
            <wp:effectExtent l="0" t="0" r="0" b="0"/>
            <wp:docPr id="2" name="Afbeeldi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7640CA16" wp14:editId="2E959B50">
            <wp:extent cx="1247775" cy="1247775"/>
            <wp:effectExtent l="0" t="0" r="9525" b="9525"/>
            <wp:docPr id="3" name="Afbeelding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8C979E"/>
          <w:sz w:val="21"/>
          <w:szCs w:val="21"/>
        </w:rPr>
        <w:t> </w:t>
      </w: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3C742680" wp14:editId="4EF5DF8E">
            <wp:extent cx="1238250" cy="1238250"/>
            <wp:effectExtent l="0" t="0" r="0" b="0"/>
            <wp:docPr id="4" name="Afbeelding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8C979E"/>
          <w:sz w:val="21"/>
          <w:szCs w:val="21"/>
        </w:rPr>
        <w:t> </w:t>
      </w: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498E295F" wp14:editId="6DD5F2BB">
            <wp:extent cx="1228725" cy="1228725"/>
            <wp:effectExtent l="0" t="0" r="9525" b="9525"/>
            <wp:docPr id="5" name="Afbeelding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9296" w14:textId="77777777" w:rsidR="00C71B3F" w:rsidRDefault="00C71B3F" w:rsidP="00C71B3F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“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merlot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bien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né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est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à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l’origine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cette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cuvée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sombre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très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intense,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qui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propose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à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l’olfaction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panier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fruits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bien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mûrs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mâtinés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délicates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nuances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épicées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.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ligne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aromatique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à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laquelle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fait écho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bouche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ample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et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charnue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portée par des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tanins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doux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et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boisé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bien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dosé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.” Guide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Hachette</w:t>
      </w:r>
      <w:proofErr w:type="spellEnd"/>
    </w:p>
    <w:p w14:paraId="6F193A23" w14:textId="77777777" w:rsidR="00C71B3F" w:rsidRDefault="00C71B3F" w:rsidP="00C71B3F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Fonts w:ascii="Helvetica" w:hAnsi="Helvetica" w:cs="Helvetica"/>
          <w:color w:val="8C979E"/>
          <w:sz w:val="21"/>
          <w:szCs w:val="21"/>
        </w:rPr>
        <w:t> </w:t>
      </w:r>
    </w:p>
    <w:p w14:paraId="5A7B547F" w14:textId="77777777" w:rsidR="00BC724A" w:rsidRDefault="00BC724A"/>
    <w:sectPr w:rsidR="00BC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F"/>
    <w:rsid w:val="00BC724A"/>
    <w:rsid w:val="00C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91A"/>
  <w15:chartTrackingRefBased/>
  <w15:docId w15:val="{DB885A4D-7C8D-4000-A0CA-D1CA84D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C7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eausaintebarbe.fr/wp-content/uploads/2018/12/los-angeles-silver_Plan-de-travail-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hateausaintebarbe.fr/wp-content/uploads/2018/12/concours-des-grand-vins-de-france_Plan-de-travail-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eausaintebarbe.fr/wp-content/uploads/2018/12/Elle-a-table_Plan-de-travail-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hateausaintebarbe.fr/wp-content/uploads/2018/12/oscar_Plan-de-travail-1.png" TargetMode="External"/><Relationship Id="rId4" Type="http://schemas.openxmlformats.org/officeDocument/2006/relationships/hyperlink" Target="https://chateausaintebarbe.fr/wp-content/uploads/2018/12/gilbertgaillard_Plan-de-travail-1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</dc:creator>
  <cp:keywords/>
  <dc:description/>
  <cp:lastModifiedBy>stefaan maenhout</cp:lastModifiedBy>
  <cp:revision>1</cp:revision>
  <dcterms:created xsi:type="dcterms:W3CDTF">2021-02-08T16:29:00Z</dcterms:created>
  <dcterms:modified xsi:type="dcterms:W3CDTF">2021-02-08T16:29:00Z</dcterms:modified>
</cp:coreProperties>
</file>