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pStyle w:val="Heading1"/>
        <w:spacing w:before="57"/>
        <w:jc w:val="both"/>
      </w:pPr>
      <w:r>
        <w:rPr>
          <w:color w:val="C30218"/>
        </w:rPr>
        <w:t>LES TOURELLES DE LONGUEVILLE</w:t>
      </w:r>
    </w:p>
    <w:p>
      <w:pPr>
        <w:pStyle w:val="Heading2"/>
        <w:jc w:val="both"/>
      </w:pPr>
      <w:r>
        <w:rPr>
          <w:color w:val="333333"/>
        </w:rPr>
        <w:t>PAUILLAC</w:t>
      </w:r>
    </w:p>
    <w:p>
      <w:pPr>
        <w:pStyle w:val="Heading4"/>
        <w:jc w:val="both"/>
      </w:pPr>
      <w:r>
        <w:rPr>
          <w:color w:val="333333"/>
        </w:rPr>
        <w:t>2ND VIN DE CHÂTEAU  PICHON-LONGUEVILLE</w:t>
      </w:r>
    </w:p>
    <w:p>
      <w:pPr>
        <w:spacing w:line="295" w:lineRule="auto" w:before="169"/>
        <w:ind w:left="113" w:right="112" w:firstLine="0"/>
        <w:jc w:val="both"/>
        <w:rPr>
          <w:i/>
          <w:sz w:val="21"/>
        </w:rPr>
      </w:pPr>
      <w:r>
        <w:rPr>
          <w:i/>
          <w:color w:val="333333"/>
          <w:sz w:val="21"/>
        </w:rPr>
        <w:t>Le style des Tourelles de Longueville unit la race du terroir de Pichon Baron et  l’élégance  des </w:t>
      </w:r>
      <w:r>
        <w:rPr>
          <w:i/>
          <w:color w:val="333333"/>
          <w:sz w:val="21"/>
        </w:rPr>
        <w:t>cépages. Le terroir de Sainte Anne, 14 ha, assure la production des Tourelles de Longueville. Ce vin, issu d'une sélection de parcelles majoritairement plantées en Merlot, possède ainsi sa propre personnalité.</w:t>
      </w:r>
    </w:p>
    <w:p>
      <w:pPr>
        <w:pStyle w:val="BodyText"/>
        <w:spacing w:before="3"/>
        <w:rPr>
          <w:i/>
          <w:sz w:val="22"/>
        </w:rPr>
      </w:pPr>
    </w:p>
    <w:p>
      <w:pPr>
        <w:spacing w:after="0"/>
        <w:rPr>
          <w:sz w:val="22"/>
        </w:rPr>
        <w:sectPr>
          <w:type w:val="continuous"/>
          <w:pgSz w:w="11910" w:h="16840"/>
          <w:pgMar w:top="1580" w:bottom="280" w:left="1020" w:right="1020"/>
        </w:sectPr>
      </w:pPr>
    </w:p>
    <w:p>
      <w:pPr>
        <w:pStyle w:val="Heading5"/>
        <w:spacing w:before="81"/>
        <w:ind w:right="0"/>
        <w:jc w:val="both"/>
      </w:pPr>
      <w:r>
        <w:rPr>
          <w:color w:val="545454"/>
        </w:rPr>
        <w:t>Histoire</w:t>
      </w:r>
    </w:p>
    <w:p>
      <w:pPr>
        <w:pStyle w:val="BodyText"/>
        <w:spacing w:line="300" w:lineRule="auto" w:before="105"/>
        <w:ind w:left="113"/>
        <w:jc w:val="both"/>
      </w:pPr>
      <w:r>
        <w:rPr>
          <w:color w:val="333333"/>
          <w:w w:val="105"/>
        </w:rPr>
        <w:t>Au Moyen Age, se dressait à Saint Lambert, entre Saint-Julien et Pauillac,</w:t>
      </w:r>
      <w:r>
        <w:rPr>
          <w:color w:val="333333"/>
          <w:spacing w:val="-26"/>
          <w:w w:val="105"/>
        </w:rPr>
        <w:t> </w:t>
      </w:r>
      <w:r>
        <w:rPr>
          <w:color w:val="333333"/>
          <w:w w:val="105"/>
        </w:rPr>
        <w:t>une ferme</w:t>
      </w:r>
      <w:r>
        <w:rPr>
          <w:color w:val="333333"/>
          <w:spacing w:val="-4"/>
          <w:w w:val="105"/>
        </w:rPr>
        <w:t> </w:t>
      </w:r>
      <w:r>
        <w:rPr>
          <w:color w:val="333333"/>
          <w:w w:val="105"/>
        </w:rPr>
        <w:t>appelée</w:t>
      </w:r>
      <w:r>
        <w:rPr>
          <w:color w:val="333333"/>
          <w:spacing w:val="-4"/>
          <w:w w:val="105"/>
        </w:rPr>
        <w:t> </w:t>
      </w:r>
      <w:r>
        <w:rPr>
          <w:color w:val="333333"/>
          <w:w w:val="105"/>
        </w:rPr>
        <w:t>la</w:t>
      </w:r>
      <w:r>
        <w:rPr>
          <w:color w:val="333333"/>
          <w:spacing w:val="-4"/>
          <w:w w:val="105"/>
        </w:rPr>
        <w:t> </w:t>
      </w:r>
      <w:r>
        <w:rPr>
          <w:color w:val="333333"/>
          <w:w w:val="105"/>
        </w:rPr>
        <w:t>Baderne,</w:t>
      </w:r>
      <w:r>
        <w:rPr>
          <w:color w:val="333333"/>
          <w:spacing w:val="-4"/>
          <w:w w:val="105"/>
        </w:rPr>
        <w:t> </w:t>
      </w:r>
      <w:r>
        <w:rPr>
          <w:color w:val="333333"/>
          <w:w w:val="105"/>
        </w:rPr>
        <w:t>entourée</w:t>
      </w:r>
      <w:r>
        <w:rPr>
          <w:color w:val="333333"/>
          <w:spacing w:val="-4"/>
          <w:w w:val="105"/>
        </w:rPr>
        <w:t> </w:t>
      </w:r>
      <w:r>
        <w:rPr>
          <w:color w:val="333333"/>
          <w:w w:val="105"/>
        </w:rPr>
        <w:t>de</w:t>
      </w:r>
      <w:r>
        <w:rPr>
          <w:color w:val="333333"/>
          <w:spacing w:val="-4"/>
          <w:w w:val="105"/>
        </w:rPr>
        <w:t> </w:t>
      </w:r>
      <w:r>
        <w:rPr>
          <w:color w:val="333333"/>
          <w:w w:val="105"/>
        </w:rPr>
        <w:t>bois</w:t>
      </w:r>
      <w:r>
        <w:rPr>
          <w:color w:val="333333"/>
          <w:spacing w:val="-4"/>
          <w:w w:val="105"/>
        </w:rPr>
        <w:t> </w:t>
      </w:r>
      <w:r>
        <w:rPr>
          <w:color w:val="333333"/>
          <w:w w:val="105"/>
        </w:rPr>
        <w:t>et</w:t>
      </w:r>
      <w:r>
        <w:rPr>
          <w:color w:val="333333"/>
          <w:spacing w:val="-4"/>
          <w:w w:val="105"/>
        </w:rPr>
        <w:t> </w:t>
      </w:r>
      <w:r>
        <w:rPr>
          <w:color w:val="333333"/>
          <w:w w:val="105"/>
        </w:rPr>
        <w:t>de</w:t>
      </w:r>
      <w:r>
        <w:rPr>
          <w:color w:val="333333"/>
          <w:spacing w:val="-4"/>
          <w:w w:val="105"/>
        </w:rPr>
        <w:t> </w:t>
      </w:r>
      <w:r>
        <w:rPr>
          <w:color w:val="333333"/>
          <w:w w:val="105"/>
        </w:rPr>
        <w:t>champs.</w:t>
      </w:r>
      <w:r>
        <w:rPr>
          <w:color w:val="333333"/>
          <w:spacing w:val="-4"/>
          <w:w w:val="105"/>
        </w:rPr>
        <w:t> </w:t>
      </w:r>
      <w:r>
        <w:rPr>
          <w:color w:val="333333"/>
          <w:w w:val="105"/>
        </w:rPr>
        <w:t>Au</w:t>
      </w:r>
      <w:r>
        <w:rPr>
          <w:color w:val="333333"/>
          <w:spacing w:val="-4"/>
          <w:w w:val="105"/>
        </w:rPr>
        <w:t> </w:t>
      </w:r>
      <w:r>
        <w:rPr>
          <w:color w:val="333333"/>
          <w:w w:val="105"/>
        </w:rPr>
        <w:t>XVIIème</w:t>
      </w:r>
      <w:r>
        <w:rPr>
          <w:color w:val="333333"/>
          <w:spacing w:val="-4"/>
          <w:w w:val="105"/>
        </w:rPr>
        <w:t> </w:t>
      </w:r>
      <w:r>
        <w:rPr>
          <w:color w:val="333333"/>
          <w:w w:val="105"/>
        </w:rPr>
        <w:t>siècle, Jacques de Pichon, Baron de Longueville, influencé par son beau-père Pierre de Rauzan “le sorcier de la vigne” entreprend de constituer le vignoble de Pichon-Baron. La réputation du vin fut établie en quelques années. Au XVIIIème siècle, la renommée du domaine égalait celle de Latour et les 30 tonneaux de sa production se vendaient entre 4 et 500 livres d’or. En 1987, AXA-Millésimes acquiert le domaine. Les nouveaux propriétaires rénovent complètement le château et installent des équipements de vinification ultramodernes. Une ambitieuse réalisation architecturale allie avec succès tradition et modernité. Le microclimat est influencé par la proximité de la Gironde qui donne au terroir de Pichon Baron toute sa richesse et sa complexité. Les vins sont corsés, riches en tannins et se caractérisent par</w:t>
      </w:r>
      <w:r>
        <w:rPr>
          <w:color w:val="333333"/>
          <w:spacing w:val="-9"/>
          <w:w w:val="105"/>
        </w:rPr>
        <w:t> </w:t>
      </w:r>
      <w:r>
        <w:rPr>
          <w:color w:val="333333"/>
          <w:w w:val="105"/>
        </w:rPr>
        <w:t>leur finesse et leur</w:t>
      </w:r>
      <w:r>
        <w:rPr>
          <w:color w:val="333333"/>
          <w:spacing w:val="-31"/>
          <w:w w:val="105"/>
        </w:rPr>
        <w:t> </w:t>
      </w:r>
      <w:r>
        <w:rPr>
          <w:color w:val="333333"/>
          <w:w w:val="105"/>
        </w:rPr>
        <w:t>élégance.</w:t>
      </w:r>
    </w:p>
    <w:p>
      <w:pPr>
        <w:pStyle w:val="BodyText"/>
        <w:spacing w:before="6"/>
      </w:pPr>
    </w:p>
    <w:p>
      <w:pPr>
        <w:pStyle w:val="Heading5"/>
        <w:spacing w:before="1"/>
        <w:ind w:right="0"/>
        <w:jc w:val="both"/>
      </w:pPr>
      <w:r>
        <w:rPr>
          <w:color w:val="545454"/>
        </w:rPr>
        <w:t>Terroir</w:t>
      </w:r>
    </w:p>
    <w:p>
      <w:pPr>
        <w:pStyle w:val="BodyText"/>
        <w:spacing w:line="300" w:lineRule="auto" w:before="105"/>
        <w:ind w:left="113"/>
        <w:jc w:val="both"/>
      </w:pPr>
      <w:r>
        <w:rPr>
          <w:color w:val="333333"/>
          <w:w w:val="105"/>
        </w:rPr>
        <w:t>Dominant le vignoble de Latour, les 73 ha du Domaine de Pichon Baron s’étendent sur des sols graveleux de très grande qualité. Cette terre unique, faible en éléments nutritifs et sans excès d’eau, nourrit avec parcimonie de vieux ceps de vigne, dont la production en raisins se veut rare mais d’une noblesse exceptionnelle. Ce terroir est capable de donner des vins extraordinaires, ce que la propriété s’emploie à faire avec excellence et constance dans le respect de l’histoire originelle de ce vignoble Composé de 62% de Cabernet Sauvignon, 32% de Merlot, 4% de Cabernet Franc et 2%</w:t>
      </w:r>
      <w:r>
        <w:rPr>
          <w:color w:val="333333"/>
          <w:spacing w:val="-7"/>
          <w:w w:val="105"/>
        </w:rPr>
        <w:t> </w:t>
      </w:r>
      <w:r>
        <w:rPr>
          <w:color w:val="333333"/>
          <w:w w:val="105"/>
        </w:rPr>
        <w:t>de Petit Verdot, le vaste vignoble de Pichon Baron a donné lieu à un minutieux découpage des parcelles. Le grand terroir de 40 ha de la butte de Pichon Baron est uniquement consacré à la production du Grand Vin et représente aujourd'hui</w:t>
      </w:r>
      <w:r>
        <w:rPr>
          <w:color w:val="333333"/>
          <w:spacing w:val="-10"/>
          <w:w w:val="105"/>
        </w:rPr>
        <w:t> </w:t>
      </w:r>
      <w:r>
        <w:rPr>
          <w:color w:val="333333"/>
          <w:w w:val="105"/>
        </w:rPr>
        <w:t>la</w:t>
      </w:r>
      <w:r>
        <w:rPr>
          <w:color w:val="333333"/>
          <w:spacing w:val="-10"/>
          <w:w w:val="105"/>
        </w:rPr>
        <w:t> </w:t>
      </w:r>
      <w:r>
        <w:rPr>
          <w:color w:val="333333"/>
          <w:w w:val="105"/>
        </w:rPr>
        <w:t>majeure</w:t>
      </w:r>
      <w:r>
        <w:rPr>
          <w:color w:val="333333"/>
          <w:spacing w:val="-10"/>
          <w:w w:val="105"/>
        </w:rPr>
        <w:t> </w:t>
      </w:r>
      <w:r>
        <w:rPr>
          <w:color w:val="333333"/>
          <w:w w:val="105"/>
        </w:rPr>
        <w:t>partie</w:t>
      </w:r>
      <w:r>
        <w:rPr>
          <w:color w:val="333333"/>
          <w:spacing w:val="-10"/>
          <w:w w:val="105"/>
        </w:rPr>
        <w:t> </w:t>
      </w:r>
      <w:r>
        <w:rPr>
          <w:color w:val="333333"/>
          <w:w w:val="105"/>
        </w:rPr>
        <w:t>de</w:t>
      </w:r>
      <w:r>
        <w:rPr>
          <w:color w:val="333333"/>
          <w:spacing w:val="-10"/>
          <w:w w:val="105"/>
        </w:rPr>
        <w:t> </w:t>
      </w:r>
      <w:r>
        <w:rPr>
          <w:color w:val="333333"/>
          <w:w w:val="105"/>
        </w:rPr>
        <w:t>son</w:t>
      </w:r>
      <w:r>
        <w:rPr>
          <w:color w:val="333333"/>
          <w:spacing w:val="-10"/>
          <w:w w:val="105"/>
        </w:rPr>
        <w:t> </w:t>
      </w:r>
      <w:r>
        <w:rPr>
          <w:color w:val="333333"/>
          <w:w w:val="105"/>
        </w:rPr>
        <w:t>assemblage.</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0"/>
        </w:rPr>
      </w:pPr>
    </w:p>
    <w:p>
      <w:pPr>
        <w:pStyle w:val="Heading6"/>
        <w:spacing w:before="0"/>
      </w:pPr>
      <w:r>
        <w:rPr>
          <w:color w:val="666666"/>
          <w:w w:val="105"/>
        </w:rPr>
        <w:t>Site web</w:t>
      </w:r>
    </w:p>
    <w:p>
      <w:pPr>
        <w:spacing w:before="100"/>
        <w:ind w:left="113" w:right="0" w:firstLine="0"/>
        <w:jc w:val="left"/>
        <w:rPr>
          <w:sz w:val="18"/>
        </w:rPr>
      </w:pPr>
      <w:hyperlink r:id="rId5">
        <w:r>
          <w:rPr>
            <w:color w:val="666666"/>
            <w:w w:val="105"/>
            <w:sz w:val="18"/>
          </w:rPr>
          <w:t>www.pichonlongueville.com</w:t>
        </w:r>
      </w:hyperlink>
    </w:p>
    <w:p>
      <w:pPr>
        <w:pStyle w:val="BodyText"/>
        <w:spacing w:before="5"/>
        <w:rPr>
          <w:sz w:val="23"/>
        </w:rPr>
      </w:pPr>
    </w:p>
    <w:p>
      <w:pPr>
        <w:pStyle w:val="Heading6"/>
      </w:pPr>
      <w:r>
        <w:rPr>
          <w:color w:val="666666"/>
          <w:w w:val="105"/>
        </w:rPr>
        <w:t>Vins</w:t>
      </w:r>
    </w:p>
    <w:p>
      <w:pPr>
        <w:spacing w:before="89"/>
        <w:ind w:left="113" w:right="0" w:firstLine="0"/>
        <w:jc w:val="left"/>
        <w:rPr>
          <w:sz w:val="16"/>
        </w:rPr>
      </w:pPr>
      <w:r>
        <w:rPr>
          <w:color w:val="666666"/>
          <w:w w:val="105"/>
          <w:sz w:val="16"/>
        </w:rPr>
        <w:t>Château Pichon Baron (Rouge)</w:t>
      </w:r>
    </w:p>
    <w:p>
      <w:pPr>
        <w:spacing w:before="89"/>
        <w:ind w:left="113" w:right="0" w:firstLine="0"/>
        <w:jc w:val="left"/>
        <w:rPr>
          <w:sz w:val="16"/>
        </w:rPr>
      </w:pPr>
      <w:r>
        <w:rPr>
          <w:color w:val="666666"/>
          <w:w w:val="105"/>
          <w:sz w:val="16"/>
        </w:rPr>
        <w:t>Les Tourelles de Longueville (Rouge)</w:t>
      </w:r>
    </w:p>
    <w:p>
      <w:pPr>
        <w:pStyle w:val="BodyText"/>
        <w:spacing w:before="5"/>
        <w:rPr>
          <w:sz w:val="23"/>
        </w:rPr>
      </w:pPr>
    </w:p>
    <w:p>
      <w:pPr>
        <w:pStyle w:val="Heading6"/>
      </w:pPr>
      <w:r>
        <w:rPr>
          <w:color w:val="666666"/>
          <w:w w:val="105"/>
        </w:rPr>
        <w:t>Superficie</w:t>
      </w:r>
    </w:p>
    <w:p>
      <w:pPr>
        <w:spacing w:before="89"/>
        <w:ind w:left="113" w:right="0" w:firstLine="0"/>
        <w:jc w:val="left"/>
        <w:rPr>
          <w:sz w:val="16"/>
        </w:rPr>
      </w:pPr>
      <w:r>
        <w:rPr>
          <w:color w:val="666666"/>
          <w:w w:val="105"/>
          <w:sz w:val="16"/>
        </w:rPr>
        <w:t>73 ha (propriété)</w:t>
      </w:r>
    </w:p>
    <w:p>
      <w:pPr>
        <w:pStyle w:val="BodyText"/>
        <w:spacing w:before="5"/>
        <w:rPr>
          <w:sz w:val="23"/>
        </w:rPr>
      </w:pPr>
    </w:p>
    <w:p>
      <w:pPr>
        <w:pStyle w:val="Heading6"/>
      </w:pPr>
      <w:r>
        <w:rPr>
          <w:color w:val="666666"/>
        </w:rPr>
        <w:t>Encépagement  rouge</w:t>
      </w:r>
    </w:p>
    <w:p>
      <w:pPr>
        <w:spacing w:before="89"/>
        <w:ind w:left="113" w:right="0" w:firstLine="0"/>
        <w:jc w:val="left"/>
        <w:rPr>
          <w:sz w:val="16"/>
        </w:rPr>
      </w:pPr>
      <w:r>
        <w:rPr>
          <w:color w:val="666666"/>
          <w:w w:val="105"/>
          <w:sz w:val="16"/>
        </w:rPr>
        <w:t>Cabernet-sauvignon : 62%</w:t>
      </w:r>
    </w:p>
    <w:p>
      <w:pPr>
        <w:spacing w:line="357" w:lineRule="auto" w:before="89"/>
        <w:ind w:left="113" w:right="1480" w:firstLine="0"/>
        <w:jc w:val="left"/>
        <w:rPr>
          <w:sz w:val="16"/>
        </w:rPr>
      </w:pPr>
      <w:r>
        <w:rPr>
          <w:color w:val="666666"/>
          <w:w w:val="105"/>
          <w:sz w:val="16"/>
        </w:rPr>
        <w:t>Merlot : 32% Cabernet franc : 4% Petit verdot : 2%</w:t>
      </w:r>
    </w:p>
    <w:p>
      <w:pPr>
        <w:spacing w:after="0" w:line="357" w:lineRule="auto"/>
        <w:jc w:val="left"/>
        <w:rPr>
          <w:sz w:val="16"/>
        </w:rPr>
        <w:sectPr>
          <w:type w:val="continuous"/>
          <w:pgSz w:w="11910" w:h="16840"/>
          <w:pgMar w:top="1580" w:bottom="280" w:left="1020" w:right="1020"/>
          <w:cols w:num="2" w:equalWidth="0">
            <w:col w:w="6294" w:space="368"/>
            <w:col w:w="3208"/>
          </w:cols>
        </w:sectPr>
      </w:pPr>
    </w:p>
    <w:p>
      <w:pPr>
        <w:pStyle w:val="BodyText"/>
        <w:rPr>
          <w:sz w:val="20"/>
        </w:rPr>
      </w:pPr>
      <w:r>
        <w:rPr/>
        <w:pict>
          <v:group style="position:absolute;margin-left:0pt;margin-top:.000024pt;width:595.3pt;height:841.9pt;mso-position-horizontal-relative:page;mso-position-vertical-relative:page;z-index:-5320" coordorigin="0,0" coordsize="11906,16838">
            <v:rect style="position:absolute;left:0;top:3600;width:11906;height:113" filled="true" fillcolor="#563d28" stroked="false">
              <v:fill type="solid"/>
            </v:rect>
            <v:shape style="position:absolute;left:0;top:0;width:11895;height:3600" type="#_x0000_t75" stroked="false">
              <v:imagedata r:id="rId6" o:title=""/>
            </v:shape>
            <v:rect style="position:absolute;left:0;top:3685;width:11906;height:11735" filled="true" fillcolor="#ffffff" stroked="false">
              <v:fill type="solid"/>
            </v:rect>
            <v:shape style="position:absolute;left:7788;top:7102;width:2936;height:3645" type="#_x0000_t75" stroked="false">
              <v:imagedata r:id="rId7" o:title=""/>
            </v:shape>
            <v:rect style="position:absolute;left:0;top:15420;width:11906;height:1418" filled="true" fillcolor="#a19585" stroked="false">
              <v:fill type="solid"/>
            </v:rect>
            <v:shape style="position:absolute;left:1107;top:15704;width:2775;height:780" type="#_x0000_t75" stroked="false">
              <v:imagedata r:id="rId8" o:title=""/>
            </v:shape>
            <w10:wrap type="none"/>
          </v:group>
        </w:pict>
      </w:r>
    </w:p>
    <w:p>
      <w:pPr>
        <w:pStyle w:val="BodyText"/>
        <w:rPr>
          <w:sz w:val="20"/>
        </w:rPr>
      </w:pPr>
    </w:p>
    <w:p>
      <w:pPr>
        <w:pStyle w:val="BodyText"/>
        <w:spacing w:before="3"/>
        <w:rPr>
          <w:sz w:val="26"/>
        </w:rPr>
      </w:pPr>
    </w:p>
    <w:p>
      <w:pPr>
        <w:spacing w:before="78"/>
        <w:ind w:left="2921" w:right="0" w:firstLine="0"/>
        <w:jc w:val="left"/>
        <w:rPr>
          <w:b/>
          <w:sz w:val="21"/>
        </w:rPr>
      </w:pPr>
      <w:hyperlink r:id="rId9">
        <w:r>
          <w:rPr>
            <w:b/>
            <w:color w:val="FFFFFF"/>
            <w:w w:val="105"/>
            <w:sz w:val="21"/>
          </w:rPr>
          <w:t>www.medocaine.com</w:t>
        </w:r>
      </w:hyperlink>
    </w:p>
    <w:p>
      <w:pPr>
        <w:spacing w:before="76"/>
        <w:ind w:left="2921" w:right="0" w:firstLine="0"/>
        <w:jc w:val="left"/>
        <w:rPr>
          <w:sz w:val="16"/>
        </w:rPr>
      </w:pPr>
      <w:r>
        <w:rPr>
          <w:color w:val="FFFFFF"/>
          <w:w w:val="105"/>
          <w:sz w:val="16"/>
        </w:rPr>
        <w:t>FR-Blanquefort 33290 - +33556955495 - </w:t>
      </w:r>
      <w:hyperlink r:id="rId10">
        <w:r>
          <w:rPr>
            <w:color w:val="FFFFFF"/>
            <w:w w:val="105"/>
            <w:sz w:val="16"/>
          </w:rPr>
          <w:t>contact@medocaine.com</w:t>
        </w:r>
      </w:hyperlink>
    </w:p>
    <w:p>
      <w:pPr>
        <w:spacing w:after="0"/>
        <w:jc w:val="left"/>
        <w:rPr>
          <w:sz w:val="16"/>
        </w:rPr>
        <w:sectPr>
          <w:type w:val="continuous"/>
          <w:pgSz w:w="11910" w:h="16840"/>
          <w:pgMar w:top="1580" w:bottom="280" w:left="1020" w:right="1020"/>
        </w:sectPr>
      </w:pPr>
    </w:p>
    <w:p>
      <w:pPr>
        <w:pStyle w:val="BodyText"/>
        <w:rPr>
          <w:sz w:val="20"/>
        </w:rPr>
      </w:pPr>
    </w:p>
    <w:p>
      <w:pPr>
        <w:pStyle w:val="BodyText"/>
        <w:spacing w:before="7"/>
        <w:rPr>
          <w:sz w:val="28"/>
        </w:rPr>
      </w:pPr>
    </w:p>
    <w:p>
      <w:pPr>
        <w:pStyle w:val="Heading1"/>
        <w:ind w:left="1133" w:right="1160"/>
      </w:pPr>
      <w:r>
        <w:rPr/>
        <w:pict>
          <v:rect style="position:absolute;margin-left:0pt;margin-top:-28.875208pt;width:595.276pt;height:5.669pt;mso-position-horizontal-relative:page;mso-position-vertical-relative:paragraph;z-index:1048" filled="true" fillcolor="#563d28" stroked="false">
            <v:fill type="solid"/>
            <w10:wrap type="none"/>
          </v:rect>
        </w:pict>
      </w:r>
      <w:r>
        <w:rPr/>
        <w:drawing>
          <wp:anchor distT="0" distB="0" distL="0" distR="0" allowOverlap="1" layoutInCell="1" locked="0" behindDoc="0" simplePos="0" relativeHeight="1192">
            <wp:simplePos x="0" y="0"/>
            <wp:positionH relativeFrom="page">
              <wp:posOffset>6570759</wp:posOffset>
            </wp:positionH>
            <wp:positionV relativeFrom="paragraph">
              <wp:posOffset>-68960</wp:posOffset>
            </wp:positionV>
            <wp:extent cx="666750" cy="666750"/>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11" cstate="print"/>
                    <a:stretch>
                      <a:fillRect/>
                    </a:stretch>
                  </pic:blipFill>
                  <pic:spPr>
                    <a:xfrm>
                      <a:off x="0" y="0"/>
                      <a:ext cx="666750" cy="666750"/>
                    </a:xfrm>
                    <a:prstGeom prst="rect">
                      <a:avLst/>
                    </a:prstGeom>
                  </pic:spPr>
                </pic:pic>
              </a:graphicData>
            </a:graphic>
          </wp:anchor>
        </w:drawing>
      </w:r>
      <w:r>
        <w:rPr>
          <w:color w:val="C30218"/>
        </w:rPr>
        <w:t>LES TOURELLES DE LONGUEVILLE 2011</w:t>
      </w:r>
    </w:p>
    <w:p>
      <w:pPr>
        <w:pStyle w:val="Heading2"/>
        <w:ind w:left="1133" w:right="1160"/>
      </w:pPr>
      <w:r>
        <w:rPr>
          <w:color w:val="333333"/>
        </w:rPr>
        <w:t>PAUILLAC</w:t>
      </w:r>
    </w:p>
    <w:p>
      <w:pPr>
        <w:pStyle w:val="Heading4"/>
        <w:ind w:left="1133" w:right="1160"/>
      </w:pPr>
      <w:r>
        <w:rPr>
          <w:color w:val="333333"/>
        </w:rPr>
        <w:t>2ND VIN DE CHÂTEAU  PICHON-LONGUEVILLE</w:t>
      </w:r>
    </w:p>
    <w:p>
      <w:pPr>
        <w:pStyle w:val="BodyText"/>
        <w:rPr>
          <w:sz w:val="20"/>
        </w:rPr>
      </w:pPr>
    </w:p>
    <w:p>
      <w:pPr>
        <w:pStyle w:val="BodyText"/>
        <w:rPr>
          <w:sz w:val="22"/>
        </w:rPr>
      </w:pPr>
    </w:p>
    <w:p>
      <w:pPr>
        <w:pStyle w:val="Heading5"/>
        <w:spacing w:before="81"/>
        <w:ind w:left="3250"/>
      </w:pPr>
      <w:r>
        <w:rPr/>
        <w:drawing>
          <wp:anchor distT="0" distB="0" distL="0" distR="0" allowOverlap="1" layoutInCell="1" locked="0" behindDoc="0" simplePos="0" relativeHeight="1072">
            <wp:simplePos x="0" y="0"/>
            <wp:positionH relativeFrom="page">
              <wp:posOffset>720001</wp:posOffset>
            </wp:positionH>
            <wp:positionV relativeFrom="paragraph">
              <wp:posOffset>37514</wp:posOffset>
            </wp:positionV>
            <wp:extent cx="1836002" cy="6120009"/>
            <wp:effectExtent l="0" t="0" r="0" b="0"/>
            <wp:wrapNone/>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2" cstate="print"/>
                    <a:stretch>
                      <a:fillRect/>
                    </a:stretch>
                  </pic:blipFill>
                  <pic:spPr>
                    <a:xfrm>
                      <a:off x="0" y="0"/>
                      <a:ext cx="1836002" cy="6120009"/>
                    </a:xfrm>
                    <a:prstGeom prst="rect">
                      <a:avLst/>
                    </a:prstGeom>
                  </pic:spPr>
                </pic:pic>
              </a:graphicData>
            </a:graphic>
          </wp:anchor>
        </w:drawing>
      </w:r>
      <w:r>
        <w:rPr>
          <w:color w:val="545454"/>
        </w:rPr>
        <w:t>Vinification</w:t>
      </w:r>
    </w:p>
    <w:p>
      <w:pPr>
        <w:spacing w:line="321" w:lineRule="auto" w:before="118"/>
        <w:ind w:left="4507" w:right="1160" w:firstLine="0"/>
        <w:jc w:val="both"/>
        <w:rPr>
          <w:sz w:val="16"/>
        </w:rPr>
      </w:pPr>
      <w:r>
        <w:rPr>
          <w:color w:val="333333"/>
          <w:w w:val="105"/>
          <w:sz w:val="16"/>
        </w:rPr>
        <w:t>Vinification parcellaire afin de mieux maîtriser les conditions climatiques liées au terroir et au millésime. Macération pré fermentaire courte, à froid pour le merlot (4-6 jours). Fermentation traditionnelle en cuves inox sous température contrôlée. Macération pendant 20 jours. Fermentation malo-lactique en cuves.</w:t>
      </w:r>
    </w:p>
    <w:p>
      <w:pPr>
        <w:pStyle w:val="BodyText"/>
        <w:spacing w:before="5"/>
        <w:rPr>
          <w:sz w:val="16"/>
        </w:rPr>
      </w:pPr>
    </w:p>
    <w:p>
      <w:pPr>
        <w:pStyle w:val="Heading5"/>
        <w:ind w:left="2810"/>
      </w:pPr>
      <w:r>
        <w:rPr>
          <w:color w:val="545454"/>
        </w:rPr>
        <w:t>Elevage</w:t>
      </w:r>
    </w:p>
    <w:p>
      <w:pPr>
        <w:spacing w:before="118"/>
        <w:ind w:left="4507" w:right="0" w:firstLine="0"/>
        <w:jc w:val="both"/>
        <w:rPr>
          <w:sz w:val="16"/>
        </w:rPr>
      </w:pPr>
      <w:r>
        <w:rPr>
          <w:color w:val="333333"/>
          <w:w w:val="105"/>
          <w:sz w:val="16"/>
        </w:rPr>
        <w:t>En barriques de chêne pendant 12 mois (50% de bois neuf et 50% de bois d’un an).</w:t>
      </w:r>
    </w:p>
    <w:p>
      <w:pPr>
        <w:pStyle w:val="BodyText"/>
        <w:spacing w:before="8"/>
        <w:rPr>
          <w:sz w:val="21"/>
        </w:rPr>
      </w:pPr>
    </w:p>
    <w:p>
      <w:pPr>
        <w:pStyle w:val="Heading5"/>
        <w:ind w:left="3250"/>
      </w:pPr>
      <w:r>
        <w:rPr>
          <w:color w:val="545454"/>
        </w:rPr>
        <w:t>Assemblage</w:t>
      </w:r>
    </w:p>
    <w:p>
      <w:pPr>
        <w:spacing w:before="118"/>
        <w:ind w:left="2942" w:right="4896" w:firstLine="0"/>
        <w:jc w:val="center"/>
        <w:rPr>
          <w:sz w:val="16"/>
        </w:rPr>
      </w:pPr>
      <w:r>
        <w:rPr>
          <w:color w:val="333333"/>
          <w:w w:val="105"/>
          <w:sz w:val="16"/>
        </w:rPr>
        <w:t>Merlot : 60%</w:t>
      </w:r>
    </w:p>
    <w:p>
      <w:pPr>
        <w:spacing w:line="321" w:lineRule="auto" w:before="62"/>
        <w:ind w:left="4507" w:right="4742" w:firstLine="0"/>
        <w:jc w:val="left"/>
        <w:rPr>
          <w:sz w:val="16"/>
        </w:rPr>
      </w:pPr>
      <w:r>
        <w:rPr>
          <w:color w:val="333333"/>
          <w:w w:val="105"/>
          <w:sz w:val="16"/>
        </w:rPr>
        <w:t>Cabernet-sauvignon : 28% Cabernet franc : 10%</w:t>
      </w:r>
    </w:p>
    <w:p>
      <w:pPr>
        <w:spacing w:before="1"/>
        <w:ind w:left="3229" w:right="4896" w:firstLine="0"/>
        <w:jc w:val="center"/>
        <w:rPr>
          <w:sz w:val="16"/>
        </w:rPr>
      </w:pPr>
      <w:r>
        <w:rPr>
          <w:color w:val="333333"/>
          <w:w w:val="105"/>
          <w:sz w:val="16"/>
        </w:rPr>
        <w:t>Petit verdot : 2%</w:t>
      </w:r>
    </w:p>
    <w:p>
      <w:pPr>
        <w:pStyle w:val="BodyText"/>
        <w:spacing w:before="8"/>
        <w:rPr>
          <w:sz w:val="21"/>
        </w:rPr>
      </w:pPr>
    </w:p>
    <w:p>
      <w:pPr>
        <w:pStyle w:val="Heading5"/>
        <w:ind w:left="3277"/>
      </w:pPr>
      <w:r>
        <w:rPr>
          <w:color w:val="545454"/>
        </w:rPr>
        <w:t>Dégustation</w:t>
      </w:r>
    </w:p>
    <w:p>
      <w:pPr>
        <w:spacing w:line="321" w:lineRule="auto" w:before="118"/>
        <w:ind w:left="4507" w:right="1160" w:firstLine="0"/>
        <w:jc w:val="both"/>
        <w:rPr>
          <w:sz w:val="16"/>
        </w:rPr>
      </w:pPr>
      <w:r>
        <w:rPr>
          <w:color w:val="333333"/>
          <w:w w:val="105"/>
          <w:sz w:val="16"/>
        </w:rPr>
        <w:t>Le millésime est ici marqué par une couleur rubis profond. Le nez est frais, précis, avec une belle fraîcheur tonique sur les fruits rouges. La bouche est soyeuse, volumineuse, élégante et subtile. L’impression globale est un vin harmonieux, charmeur qui est particulièrement distingué, accessible et racé.</w:t>
      </w:r>
    </w:p>
    <w:p>
      <w:pPr>
        <w:pStyle w:val="BodyText"/>
        <w:spacing w:before="4"/>
        <w:rPr>
          <w:sz w:val="9"/>
        </w:rPr>
      </w:pPr>
    </w:p>
    <w:p>
      <w:pPr>
        <w:spacing w:after="0"/>
        <w:rPr>
          <w:sz w:val="9"/>
        </w:rPr>
        <w:sectPr>
          <w:pgSz w:w="11910" w:h="16840"/>
          <w:pgMar w:top="0" w:bottom="0" w:left="0" w:right="0"/>
        </w:sectPr>
      </w:pPr>
    </w:p>
    <w:p>
      <w:pPr>
        <w:pStyle w:val="Heading5"/>
        <w:spacing w:before="81"/>
        <w:ind w:left="4507" w:right="0"/>
        <w:jc w:val="left"/>
      </w:pPr>
      <w:r>
        <w:rPr>
          <w:color w:val="545454"/>
        </w:rPr>
        <w:t>Récompenses</w:t>
      </w:r>
    </w:p>
    <w:p>
      <w:pPr>
        <w:pStyle w:val="BodyText"/>
        <w:spacing w:before="11"/>
        <w:rPr>
          <w:rFonts w:ascii="Georgia"/>
          <w:b/>
          <w:sz w:val="19"/>
        </w:rPr>
      </w:pPr>
    </w:p>
    <w:p>
      <w:pPr>
        <w:spacing w:line="312" w:lineRule="exact" w:before="0"/>
        <w:ind w:left="0" w:right="259" w:firstLine="0"/>
        <w:jc w:val="right"/>
        <w:rPr>
          <w:sz w:val="28"/>
        </w:rPr>
      </w:pPr>
      <w:r>
        <w:rPr/>
        <w:drawing>
          <wp:anchor distT="0" distB="0" distL="0" distR="0" allowOverlap="1" layoutInCell="1" locked="0" behindDoc="0" simplePos="0" relativeHeight="1096">
            <wp:simplePos x="0" y="0"/>
            <wp:positionH relativeFrom="page">
              <wp:posOffset>2862016</wp:posOffset>
            </wp:positionH>
            <wp:positionV relativeFrom="paragraph">
              <wp:posOffset>-48387</wp:posOffset>
            </wp:positionV>
            <wp:extent cx="381000" cy="381000"/>
            <wp:effectExtent l="0" t="0" r="0" b="0"/>
            <wp:wrapNone/>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3" cstate="print"/>
                    <a:stretch>
                      <a:fillRect/>
                    </a:stretch>
                  </pic:blipFill>
                  <pic:spPr>
                    <a:xfrm>
                      <a:off x="0" y="0"/>
                      <a:ext cx="381000" cy="381000"/>
                    </a:xfrm>
                    <a:prstGeom prst="rect">
                      <a:avLst/>
                    </a:prstGeom>
                  </pic:spPr>
                </pic:pic>
              </a:graphicData>
            </a:graphic>
          </wp:anchor>
        </w:drawing>
      </w:r>
      <w:r>
        <w:rPr>
          <w:color w:val="212121"/>
          <w:sz w:val="28"/>
        </w:rPr>
        <w:t>89-92/100</w:t>
      </w:r>
    </w:p>
    <w:p>
      <w:pPr>
        <w:spacing w:line="174" w:lineRule="exact" w:before="0"/>
        <w:ind w:left="0" w:right="474" w:firstLine="0"/>
        <w:jc w:val="right"/>
        <w:rPr>
          <w:sz w:val="16"/>
        </w:rPr>
      </w:pPr>
      <w:r>
        <w:rPr>
          <w:color w:val="666666"/>
          <w:sz w:val="16"/>
        </w:rPr>
        <w:t>Wine Spectator</w:t>
      </w:r>
    </w:p>
    <w:p>
      <w:pPr>
        <w:pStyle w:val="BodyText"/>
        <w:spacing w:before="8"/>
        <w:rPr>
          <w:sz w:val="19"/>
        </w:rPr>
      </w:pPr>
    </w:p>
    <w:p>
      <w:pPr>
        <w:spacing w:line="312" w:lineRule="exact" w:before="0"/>
        <w:ind w:left="0" w:right="596" w:firstLine="0"/>
        <w:jc w:val="right"/>
        <w:rPr>
          <w:sz w:val="28"/>
        </w:rPr>
      </w:pPr>
      <w:r>
        <w:rPr/>
        <w:drawing>
          <wp:anchor distT="0" distB="0" distL="0" distR="0" allowOverlap="1" layoutInCell="1" locked="0" behindDoc="0" simplePos="0" relativeHeight="1144">
            <wp:simplePos x="0" y="0"/>
            <wp:positionH relativeFrom="page">
              <wp:posOffset>2862016</wp:posOffset>
            </wp:positionH>
            <wp:positionV relativeFrom="paragraph">
              <wp:posOffset>-48384</wp:posOffset>
            </wp:positionV>
            <wp:extent cx="381000" cy="381000"/>
            <wp:effectExtent l="0" t="0" r="0" b="0"/>
            <wp:wrapNone/>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4" cstate="print"/>
                    <a:stretch>
                      <a:fillRect/>
                    </a:stretch>
                  </pic:blipFill>
                  <pic:spPr>
                    <a:xfrm>
                      <a:off x="0" y="0"/>
                      <a:ext cx="381000" cy="381000"/>
                    </a:xfrm>
                    <a:prstGeom prst="rect">
                      <a:avLst/>
                    </a:prstGeom>
                  </pic:spPr>
                </pic:pic>
              </a:graphicData>
            </a:graphic>
          </wp:anchor>
        </w:drawing>
      </w:r>
      <w:r>
        <w:rPr>
          <w:color w:val="212121"/>
          <w:sz w:val="28"/>
        </w:rPr>
        <w:t>15.5/20</w:t>
      </w:r>
    </w:p>
    <w:p>
      <w:pPr>
        <w:spacing w:line="174" w:lineRule="exact" w:before="0"/>
        <w:ind w:left="0" w:right="0" w:firstLine="0"/>
        <w:jc w:val="right"/>
        <w:rPr>
          <w:sz w:val="16"/>
        </w:rPr>
      </w:pPr>
      <w:r>
        <w:rPr>
          <w:color w:val="666666"/>
          <w:sz w:val="16"/>
        </w:rPr>
        <w:t>Bettane et Desseauve</w:t>
      </w:r>
    </w:p>
    <w:p>
      <w:pPr>
        <w:pStyle w:val="BodyText"/>
        <w:rPr>
          <w:sz w:val="16"/>
        </w:rPr>
      </w:pPr>
    </w:p>
    <w:p>
      <w:pPr>
        <w:pStyle w:val="Heading5"/>
        <w:spacing w:before="102"/>
        <w:ind w:left="0" w:right="681"/>
        <w:jc w:val="right"/>
      </w:pPr>
      <w:r>
        <w:rPr>
          <w:color w:val="545454"/>
        </w:rPr>
        <w:t>Revue de presse</w:t>
      </w:r>
    </w:p>
    <w:p>
      <w:pPr>
        <w:pStyle w:val="BodyText"/>
        <w:rPr>
          <w:rFonts w:ascii="Georgia"/>
          <w:b/>
          <w:sz w:val="28"/>
        </w:rPr>
      </w:pPr>
      <w:r>
        <w:rPr/>
        <w:br w:type="column"/>
      </w:r>
      <w:r>
        <w:rPr>
          <w:rFonts w:ascii="Georgia"/>
          <w:b/>
          <w:sz w:val="28"/>
        </w:rPr>
      </w:r>
    </w:p>
    <w:p>
      <w:pPr>
        <w:spacing w:line="312" w:lineRule="exact" w:before="217"/>
        <w:ind w:left="1429" w:right="0" w:firstLine="0"/>
        <w:jc w:val="left"/>
        <w:rPr>
          <w:sz w:val="28"/>
        </w:rPr>
      </w:pPr>
      <w:r>
        <w:rPr>
          <w:color w:val="212121"/>
          <w:w w:val="105"/>
          <w:sz w:val="28"/>
        </w:rPr>
        <w:t>16/20</w:t>
      </w:r>
    </w:p>
    <w:p>
      <w:pPr>
        <w:spacing w:line="174" w:lineRule="exact" w:before="0"/>
        <w:ind w:left="1429" w:right="0" w:firstLine="0"/>
        <w:jc w:val="left"/>
        <w:rPr>
          <w:sz w:val="16"/>
        </w:rPr>
      </w:pPr>
      <w:r>
        <w:rPr/>
        <w:drawing>
          <wp:anchor distT="0" distB="0" distL="0" distR="0" allowOverlap="1" layoutInCell="1" locked="0" behindDoc="0" simplePos="0" relativeHeight="1120">
            <wp:simplePos x="0" y="0"/>
            <wp:positionH relativeFrom="page">
              <wp:posOffset>4784780</wp:posOffset>
            </wp:positionH>
            <wp:positionV relativeFrom="paragraph">
              <wp:posOffset>-246606</wp:posOffset>
            </wp:positionV>
            <wp:extent cx="381000" cy="381000"/>
            <wp:effectExtent l="0" t="0" r="0" b="0"/>
            <wp:wrapNone/>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5" cstate="print"/>
                    <a:stretch>
                      <a:fillRect/>
                    </a:stretch>
                  </pic:blipFill>
                  <pic:spPr>
                    <a:xfrm>
                      <a:off x="0" y="0"/>
                      <a:ext cx="381000" cy="381000"/>
                    </a:xfrm>
                    <a:prstGeom prst="rect">
                      <a:avLst/>
                    </a:prstGeom>
                  </pic:spPr>
                </pic:pic>
              </a:graphicData>
            </a:graphic>
          </wp:anchor>
        </w:drawing>
      </w:r>
      <w:r>
        <w:rPr>
          <w:color w:val="666666"/>
          <w:sz w:val="16"/>
        </w:rPr>
        <w:t>Decanter</w:t>
      </w:r>
    </w:p>
    <w:p>
      <w:pPr>
        <w:pStyle w:val="BodyText"/>
        <w:spacing w:before="8"/>
        <w:rPr>
          <w:sz w:val="19"/>
        </w:rPr>
      </w:pPr>
    </w:p>
    <w:p>
      <w:pPr>
        <w:pStyle w:val="Heading3"/>
        <w:ind w:left="1429"/>
      </w:pPr>
      <w:r>
        <w:rPr/>
        <w:drawing>
          <wp:anchor distT="0" distB="0" distL="0" distR="0" allowOverlap="1" layoutInCell="1" locked="0" behindDoc="0" simplePos="0" relativeHeight="1168">
            <wp:simplePos x="0" y="0"/>
            <wp:positionH relativeFrom="page">
              <wp:posOffset>4784780</wp:posOffset>
            </wp:positionH>
            <wp:positionV relativeFrom="paragraph">
              <wp:posOffset>-48384</wp:posOffset>
            </wp:positionV>
            <wp:extent cx="381000" cy="381000"/>
            <wp:effectExtent l="0" t="0" r="0" b="0"/>
            <wp:wrapNone/>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6" cstate="print"/>
                    <a:stretch>
                      <a:fillRect/>
                    </a:stretch>
                  </pic:blipFill>
                  <pic:spPr>
                    <a:xfrm>
                      <a:off x="0" y="0"/>
                      <a:ext cx="381000" cy="381000"/>
                    </a:xfrm>
                    <a:prstGeom prst="rect">
                      <a:avLst/>
                    </a:prstGeom>
                  </pic:spPr>
                </pic:pic>
              </a:graphicData>
            </a:graphic>
          </wp:anchor>
        </w:drawing>
      </w:r>
      <w:r>
        <w:rPr>
          <w:color w:val="212121"/>
          <w:w w:val="105"/>
        </w:rPr>
        <w:t>17/20</w:t>
      </w:r>
    </w:p>
    <w:p>
      <w:pPr>
        <w:spacing w:line="174" w:lineRule="exact" w:before="0"/>
        <w:ind w:left="1429" w:right="0" w:firstLine="0"/>
        <w:jc w:val="left"/>
        <w:rPr>
          <w:sz w:val="16"/>
        </w:rPr>
      </w:pPr>
      <w:r>
        <w:rPr>
          <w:color w:val="666666"/>
          <w:sz w:val="16"/>
        </w:rPr>
        <w:t>Jancis Robinson</w:t>
      </w:r>
    </w:p>
    <w:p>
      <w:pPr>
        <w:spacing w:after="0" w:line="174" w:lineRule="exact"/>
        <w:jc w:val="left"/>
        <w:rPr>
          <w:sz w:val="16"/>
        </w:rPr>
        <w:sectPr>
          <w:type w:val="continuous"/>
          <w:pgSz w:w="11910" w:h="16840"/>
          <w:pgMar w:top="1580" w:bottom="280" w:left="0" w:right="0"/>
          <w:cols w:num="2" w:equalWidth="0">
            <w:col w:w="6876" w:space="40"/>
            <w:col w:w="4994"/>
          </w:cols>
        </w:sectPr>
      </w:pPr>
    </w:p>
    <w:p>
      <w:pPr>
        <w:pStyle w:val="BodyText"/>
        <w:spacing w:before="7"/>
        <w:rPr>
          <w:sz w:val="9"/>
        </w:rPr>
      </w:pPr>
      <w:r>
        <w:rPr/>
        <w:pict>
          <v:group style="position:absolute;margin-left:0pt;margin-top:771.024841pt;width:595.3pt;height:70.9pt;mso-position-horizontal-relative:page;mso-position-vertical-relative:page;z-index:-5104" coordorigin="0,15420" coordsize="11906,1418">
            <v:rect style="position:absolute;left:0;top:15420;width:11906;height:1418" filled="true" fillcolor="#a19585" stroked="false">
              <v:fill type="solid"/>
            </v:rect>
            <v:shape style="position:absolute;left:1107;top:15704;width:2775;height:780" type="#_x0000_t75" stroked="false">
              <v:imagedata r:id="rId8" o:title=""/>
            </v:shape>
            <v:shapetype id="_x0000_t202" o:spt="202" coordsize="21600,21600" path="m,l,21600r21600,l21600,xe">
              <v:stroke joinstyle="miter"/>
              <v:path gradientshapeok="t" o:connecttype="rect"/>
            </v:shapetype>
            <v:shape style="position:absolute;left:0;top:15420;width:11906;height:1418" type="#_x0000_t202" filled="false" stroked="false">
              <v:textbox inset="0,0,0,0">
                <w:txbxContent>
                  <w:p>
                    <w:pPr>
                      <w:spacing w:line="240" w:lineRule="auto" w:before="11"/>
                      <w:rPr>
                        <w:i/>
                        <w:sz w:val="32"/>
                      </w:rPr>
                    </w:pPr>
                  </w:p>
                  <w:p>
                    <w:pPr>
                      <w:spacing w:before="0"/>
                      <w:ind w:left="3941" w:right="0" w:firstLine="0"/>
                      <w:jc w:val="left"/>
                      <w:rPr>
                        <w:b/>
                        <w:sz w:val="21"/>
                      </w:rPr>
                    </w:pPr>
                    <w:hyperlink r:id="rId9">
                      <w:r>
                        <w:rPr>
                          <w:b/>
                          <w:color w:val="FFFFFF"/>
                          <w:w w:val="105"/>
                          <w:sz w:val="21"/>
                        </w:rPr>
                        <w:t>www.medocaine.com</w:t>
                      </w:r>
                    </w:hyperlink>
                  </w:p>
                  <w:p>
                    <w:pPr>
                      <w:spacing w:before="76"/>
                      <w:ind w:left="3941" w:right="0" w:firstLine="0"/>
                      <w:jc w:val="left"/>
                      <w:rPr>
                        <w:sz w:val="16"/>
                      </w:rPr>
                    </w:pPr>
                    <w:r>
                      <w:rPr>
                        <w:color w:val="FFFFFF"/>
                        <w:w w:val="105"/>
                        <w:sz w:val="16"/>
                      </w:rPr>
                      <w:t>FR-Blanquefort 33290 - +33556955495 - </w:t>
                    </w:r>
                    <w:hyperlink r:id="rId10">
                      <w:r>
                        <w:rPr>
                          <w:color w:val="FFFFFF"/>
                          <w:w w:val="105"/>
                          <w:sz w:val="16"/>
                        </w:rPr>
                        <w:t>contact@medocaine.com</w:t>
                      </w:r>
                    </w:hyperlink>
                  </w:p>
                </w:txbxContent>
              </v:textbox>
              <w10:wrap type="none"/>
            </v:shape>
            <w10:wrap type="none"/>
          </v:group>
        </w:pict>
      </w:r>
    </w:p>
    <w:p>
      <w:pPr>
        <w:spacing w:before="82"/>
        <w:ind w:left="4485" w:right="4868" w:firstLine="0"/>
        <w:jc w:val="center"/>
        <w:rPr>
          <w:sz w:val="16"/>
        </w:rPr>
      </w:pPr>
      <w:r>
        <w:rPr>
          <w:color w:val="333333"/>
          <w:sz w:val="16"/>
        </w:rPr>
        <w:t>Wine Spectator • 89-92/100 • 2012</w:t>
      </w:r>
    </w:p>
    <w:p>
      <w:pPr>
        <w:spacing w:line="249" w:lineRule="auto" w:before="7"/>
        <w:ind w:left="4507" w:right="1160" w:firstLine="0"/>
        <w:jc w:val="left"/>
        <w:rPr>
          <w:i/>
          <w:sz w:val="15"/>
        </w:rPr>
      </w:pPr>
      <w:r>
        <w:rPr>
          <w:i/>
          <w:color w:val="666666"/>
          <w:sz w:val="15"/>
        </w:rPr>
        <w:t>Sleek, with a good iron and tobacco frame to the cassis and blackberry fruit. Tightly beaded </w:t>
      </w:r>
      <w:r>
        <w:rPr>
          <w:i/>
          <w:color w:val="666666"/>
          <w:sz w:val="15"/>
        </w:rPr>
        <w:t>acidity on the finish.</w:t>
      </w:r>
    </w:p>
    <w:p>
      <w:pPr>
        <w:pStyle w:val="BodyText"/>
        <w:rPr>
          <w:i/>
          <w:sz w:val="14"/>
        </w:rPr>
      </w:pPr>
    </w:p>
    <w:p>
      <w:pPr>
        <w:spacing w:before="100"/>
        <w:ind w:left="4187" w:right="4896" w:firstLine="0"/>
        <w:jc w:val="center"/>
        <w:rPr>
          <w:sz w:val="16"/>
        </w:rPr>
      </w:pPr>
      <w:r>
        <w:rPr>
          <w:color w:val="333333"/>
          <w:sz w:val="16"/>
        </w:rPr>
        <w:t>Decanter • 16/20 • 18/04/2012</w:t>
      </w:r>
    </w:p>
    <w:p>
      <w:pPr>
        <w:spacing w:line="249" w:lineRule="auto" w:before="7"/>
        <w:ind w:left="4507" w:right="1160" w:firstLine="0"/>
        <w:jc w:val="left"/>
        <w:rPr>
          <w:i/>
          <w:sz w:val="15"/>
        </w:rPr>
      </w:pPr>
      <w:r>
        <w:rPr>
          <w:i/>
          <w:color w:val="666666"/>
          <w:sz w:val="15"/>
        </w:rPr>
        <w:t>Black fruits and a touch of bitter chocolate, high Merlot content adds supple charm. Drink </w:t>
      </w:r>
      <w:r>
        <w:rPr>
          <w:i/>
          <w:color w:val="666666"/>
          <w:sz w:val="15"/>
        </w:rPr>
        <w:t>2015-2022.</w:t>
      </w:r>
    </w:p>
    <w:sectPr>
      <w:type w:val="continuous"/>
      <w:pgSz w:w="11910" w:h="16840"/>
      <w:pgMar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7"/>
      <w:szCs w:val="17"/>
    </w:rPr>
  </w:style>
  <w:style w:styleId="Heading1" w:type="paragraph">
    <w:name w:val="Heading 1"/>
    <w:basedOn w:val="Normal"/>
    <w:uiPriority w:val="1"/>
    <w:qFormat/>
    <w:pPr>
      <w:spacing w:before="56"/>
      <w:ind w:left="113"/>
      <w:outlineLvl w:val="1"/>
    </w:pPr>
    <w:rPr>
      <w:rFonts w:ascii="Arial" w:hAnsi="Arial" w:eastAsia="Arial" w:cs="Arial"/>
      <w:b/>
      <w:bCs/>
      <w:sz w:val="35"/>
      <w:szCs w:val="35"/>
    </w:rPr>
  </w:style>
  <w:style w:styleId="Heading2" w:type="paragraph">
    <w:name w:val="Heading 2"/>
    <w:basedOn w:val="Normal"/>
    <w:uiPriority w:val="1"/>
    <w:qFormat/>
    <w:pPr>
      <w:spacing w:before="132"/>
      <w:ind w:left="113"/>
      <w:outlineLvl w:val="2"/>
    </w:pPr>
    <w:rPr>
      <w:rFonts w:ascii="Arial" w:hAnsi="Arial" w:eastAsia="Arial" w:cs="Arial"/>
      <w:sz w:val="31"/>
      <w:szCs w:val="31"/>
    </w:rPr>
  </w:style>
  <w:style w:styleId="Heading3" w:type="paragraph">
    <w:name w:val="Heading 3"/>
    <w:basedOn w:val="Normal"/>
    <w:uiPriority w:val="1"/>
    <w:qFormat/>
    <w:pPr>
      <w:spacing w:line="312" w:lineRule="exact"/>
      <w:outlineLvl w:val="3"/>
    </w:pPr>
    <w:rPr>
      <w:rFonts w:ascii="Arial" w:hAnsi="Arial" w:eastAsia="Arial" w:cs="Arial"/>
      <w:sz w:val="28"/>
      <w:szCs w:val="28"/>
    </w:rPr>
  </w:style>
  <w:style w:styleId="Heading4" w:type="paragraph">
    <w:name w:val="Heading 4"/>
    <w:basedOn w:val="Normal"/>
    <w:uiPriority w:val="1"/>
    <w:qFormat/>
    <w:pPr>
      <w:spacing w:before="52"/>
      <w:ind w:left="113"/>
      <w:outlineLvl w:val="4"/>
    </w:pPr>
    <w:rPr>
      <w:rFonts w:ascii="Arial" w:hAnsi="Arial" w:eastAsia="Arial" w:cs="Arial"/>
      <w:sz w:val="25"/>
      <w:szCs w:val="25"/>
    </w:rPr>
  </w:style>
  <w:style w:styleId="Heading5" w:type="paragraph">
    <w:name w:val="Heading 5"/>
    <w:basedOn w:val="Normal"/>
    <w:uiPriority w:val="1"/>
    <w:qFormat/>
    <w:pPr>
      <w:ind w:left="113" w:right="4896"/>
      <w:jc w:val="center"/>
      <w:outlineLvl w:val="5"/>
    </w:pPr>
    <w:rPr>
      <w:rFonts w:ascii="Georgia" w:hAnsi="Georgia" w:eastAsia="Georgia" w:cs="Georgia"/>
      <w:b/>
      <w:bCs/>
      <w:sz w:val="20"/>
      <w:szCs w:val="20"/>
    </w:rPr>
  </w:style>
  <w:style w:styleId="Heading6" w:type="paragraph">
    <w:name w:val="Heading 6"/>
    <w:basedOn w:val="Normal"/>
    <w:uiPriority w:val="1"/>
    <w:qFormat/>
    <w:pPr>
      <w:spacing w:before="1"/>
      <w:ind w:left="113"/>
      <w:outlineLvl w:val="6"/>
    </w:pPr>
    <w:rPr>
      <w:rFonts w:ascii="Arial" w:hAnsi="Arial" w:eastAsia="Arial" w:cs="Arial"/>
      <w:b/>
      <w:bCs/>
      <w:sz w:val="18"/>
      <w:szCs w:val="1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pichonlongueville.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www.medocaine.com/" TargetMode="External"/><Relationship Id="rId10" Type="http://schemas.openxmlformats.org/officeDocument/2006/relationships/hyperlink" Target="mailto:contact@medocaine.com" TargetMode="External"/><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Tourelles de Longueville 2011</dc:title>
  <dcterms:created xsi:type="dcterms:W3CDTF">2016-03-09T11:25:21Z</dcterms:created>
  <dcterms:modified xsi:type="dcterms:W3CDTF">2016-03-09T11:25:21Z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WineDataSystem</vt:lpwstr>
  </property>
</Properties>
</file>