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6C4F" w14:textId="77777777" w:rsidR="00A61F7A" w:rsidRPr="00A61F7A" w:rsidRDefault="00A61F7A" w:rsidP="00A61F7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</w:pP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Appellation : AOC Bandol</w:t>
      </w: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br/>
        <w:t>Millésime : 2020</w:t>
      </w: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br/>
        <w:t xml:space="preserve">Assemblage :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Mourvèdre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 xml:space="preserve"> 95%, Grenache 5%</w:t>
      </w: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br/>
        <w:t>Température de service : 10-12°C</w:t>
      </w: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br/>
        <w:t>Garde : à boire et à garder</w:t>
      </w:r>
    </w:p>
    <w:p w14:paraId="5DC7E92A" w14:textId="77777777" w:rsidR="00A61F7A" w:rsidRPr="00A61F7A" w:rsidRDefault="00A61F7A" w:rsidP="00A61F7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</w:pP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Sol : Argilo-calcaire</w:t>
      </w: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br/>
        <w:t xml:space="preserve">Culture : Agriculture biologique,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certifiée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 xml:space="preserve"> par Label Ecocert depuis 2006</w:t>
      </w: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br/>
        <w:t>Age moyen des vignes : 45 ans</w:t>
      </w: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br/>
        <w:t xml:space="preserve">Vendange : Manuelle en petites caisses, double tri,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éraflage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 xml:space="preserve"> total, foulage et pressurage lent des baies, à basse pression, suite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a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 xml:space="preserve">̀ une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macération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 xml:space="preserve"> de quelques heures, avant fermentation alcoolique.</w:t>
      </w: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br/>
        <w:t xml:space="preserve">Vinification : Fermentation avec levures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indigènes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 xml:space="preserve">,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débourbage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 xml:space="preserve"> à froid. Levures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indigènes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.</w:t>
      </w: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br/>
        <w:t>Elevage : sur lies fines en cuve inox.</w:t>
      </w:r>
    </w:p>
    <w:p w14:paraId="5948E1A0" w14:textId="77777777" w:rsidR="00A61F7A" w:rsidRPr="00A61F7A" w:rsidRDefault="00A61F7A" w:rsidP="00A61F7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</w:pP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Ete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 xml:space="preserve">́ comme hiver, cet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Irréductible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 xml:space="preserve"> 2020 accompagnera à merveille poissons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grillés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 xml:space="preserve"> (le rouget est parfait !), les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crustacés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 xml:space="preserve">, les mets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méditerranéens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 xml:space="preserve">, la cuisine </w:t>
      </w: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épicée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val="fr-FR" w:eastAsia="nl-BE"/>
          <w14:ligatures w14:val="none"/>
        </w:rPr>
        <w:t>, exotique, les volailles telles que les pintades ou un gigot d'agneau piqué d'ail embaumé, de romarin.</w:t>
      </w:r>
    </w:p>
    <w:p w14:paraId="5C048A25" w14:textId="77777777" w:rsidR="00A61F7A" w:rsidRPr="00A61F7A" w:rsidRDefault="00A61F7A" w:rsidP="00A61F7A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nl-BE"/>
          <w14:ligatures w14:val="none"/>
        </w:rPr>
      </w:pP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nl-BE"/>
          <w14:ligatures w14:val="none"/>
        </w:rPr>
        <w:t>Vinous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nl-BE"/>
          <w14:ligatures w14:val="none"/>
        </w:rPr>
        <w:t xml:space="preserve"> 94/100</w:t>
      </w:r>
    </w:p>
    <w:p w14:paraId="3534912C" w14:textId="77777777" w:rsidR="00A61F7A" w:rsidRPr="00A61F7A" w:rsidRDefault="00A61F7A" w:rsidP="00A61F7A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nl-BE"/>
          <w14:ligatures w14:val="none"/>
        </w:rPr>
      </w:pPr>
      <w:proofErr w:type="spellStart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nl-BE"/>
          <w14:ligatures w14:val="none"/>
        </w:rPr>
        <w:t>WineEnthusiast</w:t>
      </w:r>
      <w:proofErr w:type="spellEnd"/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nl-BE"/>
          <w14:ligatures w14:val="none"/>
        </w:rPr>
        <w:t xml:space="preserve"> 93/100</w:t>
      </w:r>
    </w:p>
    <w:p w14:paraId="3CB215C2" w14:textId="77777777" w:rsidR="00A61F7A" w:rsidRPr="00A61F7A" w:rsidRDefault="00A61F7A" w:rsidP="00A61F7A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nl-BE"/>
          <w14:ligatures w14:val="none"/>
        </w:rPr>
      </w:pP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nl-BE"/>
          <w14:ligatures w14:val="none"/>
        </w:rPr>
        <w:t>Terre de Vins 18/20</w:t>
      </w:r>
    </w:p>
    <w:p w14:paraId="16F985FA" w14:textId="77777777" w:rsidR="00A61F7A" w:rsidRPr="00A61F7A" w:rsidRDefault="00A61F7A" w:rsidP="00A61F7A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nl-BE"/>
          <w14:ligatures w14:val="none"/>
        </w:rPr>
      </w:pPr>
      <w:r w:rsidRPr="00A61F7A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nl-BE"/>
          <w14:ligatures w14:val="none"/>
        </w:rPr>
        <w:t>Figaro 96/100</w:t>
      </w:r>
    </w:p>
    <w:p w14:paraId="20743497" w14:textId="77777777" w:rsidR="00F13BA8" w:rsidRDefault="00F13BA8" w:rsidP="00A61F7A"/>
    <w:p w14:paraId="1F4F8B3A" w14:textId="6DC52A3D" w:rsidR="00A61F7A" w:rsidRPr="00A61F7A" w:rsidRDefault="00A61F7A" w:rsidP="00A61F7A">
      <w:pPr>
        <w:rPr>
          <w:lang w:val="fr-FR"/>
        </w:rPr>
      </w:pPr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Le souffle de la Méditerranée a donné naissance à cet Irréductible.  Taillé pour la garde, à l’encontre de la mode des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rosés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éphémères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et transparents, sa robe est couleur framboise, brillante intense et chatoyante. Son bouquet est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caractéristique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du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Mourvèdre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où les fruits rouges se marient avec les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épices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et les parfums de garrigue. En bouche, les fruits rouges sont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portés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par des notes de zestes, d’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épices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et de thym. Une belle finale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légèrement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iodée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, sapide et rafraichissante. Bien que ce vin rosé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possède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un potentiel de garde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indéniable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, son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éclat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de fruits en bouche est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très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séduisant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</w:t>
      </w:r>
      <w:proofErr w:type="spellStart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>dès</w:t>
      </w:r>
      <w:proofErr w:type="spellEnd"/>
      <w:r w:rsidRPr="00A61F7A">
        <w:rPr>
          <w:rFonts w:ascii="Helvetica" w:hAnsi="Helvetica" w:cs="Helvetica"/>
          <w:color w:val="000000"/>
          <w:shd w:val="clear" w:color="auto" w:fill="FFFFFF"/>
          <w:lang w:val="fr-FR"/>
        </w:rPr>
        <w:t xml:space="preserve"> aujourd’hui.</w:t>
      </w:r>
    </w:p>
    <w:sectPr w:rsidR="00A61F7A" w:rsidRPr="00A6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FDA"/>
    <w:multiLevelType w:val="multilevel"/>
    <w:tmpl w:val="EDB4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687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A8"/>
    <w:rsid w:val="006E6A67"/>
    <w:rsid w:val="00A61F7A"/>
    <w:rsid w:val="00F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0AE7"/>
  <w15:chartTrackingRefBased/>
  <w15:docId w15:val="{730DF123-8A42-4ED9-B201-D674BF21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Maenhout | Wijnen Maenhout</dc:creator>
  <cp:keywords/>
  <dc:description/>
  <cp:lastModifiedBy>Stefaan Maenhout | Wijnen Maenhout</cp:lastModifiedBy>
  <cp:revision>2</cp:revision>
  <dcterms:created xsi:type="dcterms:W3CDTF">2023-04-13T08:22:00Z</dcterms:created>
  <dcterms:modified xsi:type="dcterms:W3CDTF">2023-04-13T08:22:00Z</dcterms:modified>
</cp:coreProperties>
</file>